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81CC" w14:textId="0BE839CB" w:rsidR="006307E2" w:rsidRPr="00E02C94" w:rsidRDefault="006307E2" w:rsidP="00E02C94">
      <w:pPr>
        <w:jc w:val="both"/>
        <w:rPr>
          <w:b/>
          <w:bCs/>
        </w:rPr>
      </w:pPr>
      <w:r w:rsidRPr="00E02C94">
        <w:rPr>
          <w:b/>
          <w:bCs/>
        </w:rPr>
        <w:t xml:space="preserve">DELTATIC </w:t>
      </w:r>
      <w:r w:rsidR="00E83CF1">
        <w:rPr>
          <w:b/>
          <w:bCs/>
        </w:rPr>
        <w:t>1,304</w:t>
      </w:r>
      <w:r w:rsidRPr="00E02C94">
        <w:rPr>
          <w:b/>
          <w:bCs/>
        </w:rPr>
        <w:t>g</w:t>
      </w:r>
    </w:p>
    <w:p w14:paraId="3F09BF0D" w14:textId="59EE9F6B" w:rsidR="006307E2" w:rsidRDefault="00240D46" w:rsidP="00E02C94">
      <w:pPr>
        <w:jc w:val="both"/>
      </w:pPr>
      <w:proofErr w:type="spellStart"/>
      <w:r>
        <w:t>Antiparazitný</w:t>
      </w:r>
      <w:proofErr w:type="spellEnd"/>
      <w:r>
        <w:t xml:space="preserve"> </w:t>
      </w:r>
      <w:r w:rsidR="006307E2" w:rsidRPr="006307E2">
        <w:t xml:space="preserve">obojok pre </w:t>
      </w:r>
      <w:r w:rsidR="00E83CF1">
        <w:t>veľké</w:t>
      </w:r>
      <w:r w:rsidR="006307E2" w:rsidRPr="006307E2">
        <w:t xml:space="preserve"> psy </w:t>
      </w:r>
    </w:p>
    <w:p w14:paraId="2032F56D" w14:textId="77777777" w:rsidR="006307E2" w:rsidRPr="00E02C94" w:rsidRDefault="006307E2" w:rsidP="00E02C94">
      <w:pPr>
        <w:jc w:val="both"/>
        <w:rPr>
          <w:b/>
          <w:bCs/>
        </w:rPr>
      </w:pPr>
      <w:proofErr w:type="spellStart"/>
      <w:r w:rsidRPr="00E02C94">
        <w:rPr>
          <w:b/>
          <w:bCs/>
        </w:rPr>
        <w:t>Deltametrín</w:t>
      </w:r>
      <w:proofErr w:type="spellEnd"/>
      <w:r w:rsidRPr="00E02C94">
        <w:rPr>
          <w:b/>
          <w:bCs/>
        </w:rPr>
        <w:t xml:space="preserve"> </w:t>
      </w:r>
    </w:p>
    <w:p w14:paraId="3484EB5B" w14:textId="7E8EA4BF" w:rsidR="006307E2" w:rsidRDefault="006307E2" w:rsidP="00E02C94">
      <w:pPr>
        <w:jc w:val="both"/>
      </w:pPr>
      <w:r w:rsidRPr="00E02C94">
        <w:rPr>
          <w:u w:val="single"/>
        </w:rPr>
        <w:t>OBSAH ÚČINNÝCH LÁTOK A INÝCH ZLOŽIEK</w:t>
      </w:r>
      <w:r w:rsidRPr="00E02C94">
        <w:rPr>
          <w:u w:val="single"/>
        </w:rPr>
        <w:t>:</w:t>
      </w:r>
      <w:r>
        <w:t xml:space="preserve"> </w:t>
      </w:r>
      <w:r w:rsidRPr="006307E2">
        <w:t xml:space="preserve"> Jeden</w:t>
      </w:r>
      <w:r w:rsidR="00240D46">
        <w:t xml:space="preserve"> </w:t>
      </w:r>
      <w:r w:rsidR="00E83CF1">
        <w:t>7</w:t>
      </w:r>
      <w:r w:rsidR="00240D46">
        <w:t>5</w:t>
      </w:r>
      <w:r w:rsidRPr="006307E2">
        <w:t xml:space="preserve"> cm obojok (</w:t>
      </w:r>
      <w:r w:rsidR="00E83CF1">
        <w:t>32,6</w:t>
      </w:r>
      <w:r w:rsidRPr="006307E2">
        <w:t xml:space="preserve"> g) obsahuje: Účinná látka: </w:t>
      </w:r>
      <w:proofErr w:type="spellStart"/>
      <w:r w:rsidRPr="006307E2">
        <w:t>Deltametrín</w:t>
      </w:r>
      <w:proofErr w:type="spellEnd"/>
      <w:r w:rsidRPr="006307E2">
        <w:t xml:space="preserve"> </w:t>
      </w:r>
      <w:r w:rsidR="00E83CF1">
        <w:t>1,304</w:t>
      </w:r>
      <w:r w:rsidRPr="006307E2">
        <w:t xml:space="preserve"> g Pomocné látky: Oxid </w:t>
      </w:r>
      <w:proofErr w:type="spellStart"/>
      <w:r w:rsidRPr="006307E2">
        <w:t>titaničitý</w:t>
      </w:r>
      <w:proofErr w:type="spellEnd"/>
      <w:r w:rsidRPr="006307E2">
        <w:t xml:space="preserve"> (E171) 0,</w:t>
      </w:r>
      <w:r w:rsidR="00E83CF1">
        <w:t>489</w:t>
      </w:r>
      <w:r w:rsidRPr="006307E2">
        <w:t xml:space="preserve"> g</w:t>
      </w:r>
      <w:r>
        <w:t xml:space="preserve">, </w:t>
      </w:r>
      <w:r w:rsidRPr="006307E2">
        <w:t xml:space="preserve">Biely obojok. </w:t>
      </w:r>
    </w:p>
    <w:p w14:paraId="7C159014" w14:textId="7B89A948" w:rsidR="006307E2" w:rsidRDefault="006307E2" w:rsidP="00E02C94">
      <w:pPr>
        <w:jc w:val="both"/>
      </w:pPr>
      <w:r w:rsidRPr="00E02C94">
        <w:rPr>
          <w:u w:val="single"/>
        </w:rPr>
        <w:t>INDIKÁCIE</w:t>
      </w:r>
      <w:r w:rsidR="00E02C94">
        <w:rPr>
          <w:u w:val="single"/>
        </w:rPr>
        <w:t>:</w:t>
      </w:r>
      <w:r w:rsidRPr="006307E2">
        <w:t xml:space="preserve"> Zamorenie parazitmi citlivými na </w:t>
      </w:r>
      <w:proofErr w:type="spellStart"/>
      <w:r w:rsidRPr="006307E2">
        <w:t>deltametrín</w:t>
      </w:r>
      <w:proofErr w:type="spellEnd"/>
      <w:r w:rsidRPr="006307E2">
        <w:t>. Prevencia opätovného zamorenia kliešťami (</w:t>
      </w:r>
      <w:proofErr w:type="spellStart"/>
      <w:r w:rsidRPr="006307E2">
        <w:t>Ixodes</w:t>
      </w:r>
      <w:proofErr w:type="spellEnd"/>
      <w:r w:rsidRPr="006307E2">
        <w:t xml:space="preserve"> </w:t>
      </w:r>
      <w:proofErr w:type="spellStart"/>
      <w:r w:rsidRPr="006307E2">
        <w:t>ricinus</w:t>
      </w:r>
      <w:proofErr w:type="spellEnd"/>
      <w:r w:rsidRPr="006307E2">
        <w:t xml:space="preserve"> a </w:t>
      </w:r>
      <w:proofErr w:type="spellStart"/>
      <w:r w:rsidRPr="006307E2">
        <w:t>Rhipicephalus</w:t>
      </w:r>
      <w:proofErr w:type="spellEnd"/>
      <w:r w:rsidRPr="006307E2">
        <w:t xml:space="preserve"> </w:t>
      </w:r>
      <w:proofErr w:type="spellStart"/>
      <w:r w:rsidRPr="006307E2">
        <w:t>sanguineus</w:t>
      </w:r>
      <w:proofErr w:type="spellEnd"/>
      <w:r w:rsidRPr="006307E2">
        <w:t xml:space="preserve">) vďaka </w:t>
      </w:r>
      <w:proofErr w:type="spellStart"/>
      <w:r w:rsidRPr="006307E2">
        <w:t>akaricídnemu</w:t>
      </w:r>
      <w:proofErr w:type="spellEnd"/>
      <w:r w:rsidRPr="006307E2">
        <w:t xml:space="preserve"> účinku počas 6 mesiacov. Prevencia uhryznutia </w:t>
      </w:r>
      <w:proofErr w:type="spellStart"/>
      <w:r w:rsidRPr="006307E2">
        <w:t>pakomármi</w:t>
      </w:r>
      <w:proofErr w:type="spellEnd"/>
      <w:r w:rsidRPr="006307E2">
        <w:t xml:space="preserve"> (</w:t>
      </w:r>
      <w:proofErr w:type="spellStart"/>
      <w:r w:rsidRPr="006307E2">
        <w:t>Phlebotomus</w:t>
      </w:r>
      <w:proofErr w:type="spellEnd"/>
      <w:r w:rsidRPr="006307E2">
        <w:t xml:space="preserve"> </w:t>
      </w:r>
      <w:proofErr w:type="spellStart"/>
      <w:r w:rsidRPr="006307E2">
        <w:t>perniciosus</w:t>
      </w:r>
      <w:proofErr w:type="spellEnd"/>
      <w:r w:rsidRPr="006307E2">
        <w:t xml:space="preserve">) vďaka </w:t>
      </w:r>
      <w:proofErr w:type="spellStart"/>
      <w:r w:rsidRPr="006307E2">
        <w:t>repelentnému</w:t>
      </w:r>
      <w:proofErr w:type="spellEnd"/>
      <w:r w:rsidRPr="006307E2">
        <w:t xml:space="preserve"> (proti kŕmeniu) účinku počas 5 mesiacov. Prevencia uhryznutia komármi (</w:t>
      </w:r>
      <w:proofErr w:type="spellStart"/>
      <w:r w:rsidRPr="006307E2">
        <w:t>Culex</w:t>
      </w:r>
      <w:proofErr w:type="spellEnd"/>
      <w:r w:rsidRPr="006307E2">
        <w:t xml:space="preserve"> </w:t>
      </w:r>
      <w:proofErr w:type="spellStart"/>
      <w:r w:rsidRPr="006307E2">
        <w:t>pipiens</w:t>
      </w:r>
      <w:proofErr w:type="spellEnd"/>
      <w:r w:rsidRPr="006307E2">
        <w:t xml:space="preserve">) prostredníctvom </w:t>
      </w:r>
      <w:proofErr w:type="spellStart"/>
      <w:r w:rsidRPr="006307E2">
        <w:t>repelentného</w:t>
      </w:r>
      <w:proofErr w:type="spellEnd"/>
      <w:r w:rsidRPr="006307E2">
        <w:t xml:space="preserve"> (proti kŕmeniu) účinku počas 6 mesiacov. </w:t>
      </w:r>
    </w:p>
    <w:p w14:paraId="15A532B0" w14:textId="2FFDABF8" w:rsidR="006307E2" w:rsidRDefault="006307E2" w:rsidP="00E02C94">
      <w:pPr>
        <w:jc w:val="both"/>
      </w:pPr>
      <w:r w:rsidRPr="00E02C94">
        <w:rPr>
          <w:u w:val="single"/>
        </w:rPr>
        <w:t>KONTRAINDIKÁCIE</w:t>
      </w:r>
      <w:r w:rsidR="00E02C94">
        <w:rPr>
          <w:u w:val="single"/>
        </w:rPr>
        <w:t xml:space="preserve">: </w:t>
      </w:r>
      <w:r w:rsidRPr="00E02C94">
        <w:rPr>
          <w:u w:val="single"/>
        </w:rPr>
        <w:t xml:space="preserve"> </w:t>
      </w:r>
      <w:r w:rsidRPr="006307E2">
        <w:t xml:space="preserve">Z dôvodu nedostatku vhodných štúdií nepoužívajte u šteniat mladších ako 7 týždňov. Nepoužívajte v prípade precitlivenosti na liečivo alebo na ktorúkoľvek z pomocných látok. Nepoužívajte u mačiek. Nepoužívajte u psov s kožnými léziami. </w:t>
      </w:r>
    </w:p>
    <w:p w14:paraId="0AC41A65" w14:textId="31BB1B71" w:rsidR="006307E2" w:rsidRDefault="006307E2" w:rsidP="00E02C94">
      <w:pPr>
        <w:jc w:val="both"/>
      </w:pPr>
      <w:r w:rsidRPr="00E02C94">
        <w:rPr>
          <w:u w:val="single"/>
        </w:rPr>
        <w:t>NEŽIADUCE ÚČINKY</w:t>
      </w:r>
      <w:r w:rsidR="00E02C94" w:rsidRPr="00E02C94">
        <w:rPr>
          <w:u w:val="single"/>
        </w:rPr>
        <w:t>:</w:t>
      </w:r>
      <w:r w:rsidRPr="006307E2">
        <w:t xml:space="preserve"> V zriedkavých prípadoch sa pozorovali lokálne kožné lézie (svrbenie, </w:t>
      </w:r>
      <w:proofErr w:type="spellStart"/>
      <w:r w:rsidRPr="006307E2">
        <w:t>erytém</w:t>
      </w:r>
      <w:proofErr w:type="spellEnd"/>
      <w:r w:rsidRPr="006307E2">
        <w:t xml:space="preserve">, vypadávanie srsti) okolo krku alebo na koži všeobecne, čo môže naznačovať lokálnu alebo generalizovanú reakciu z precitlivenosti. V sporadických prípadoch sa pozorovali aj zmeny správania (napr. ospalosť alebo hyperaktivita), často sprevádzané podráždením kože. V zriedkavých prípadoch sa pozorovali gastrointestinálne príznaky, ako je vracanie, hnačka alebo nadmerné slinenie. V zriedkavých prípadoch sa pozorovali </w:t>
      </w:r>
      <w:proofErr w:type="spellStart"/>
      <w:r w:rsidRPr="006307E2">
        <w:t>neuromuskulárne</w:t>
      </w:r>
      <w:proofErr w:type="spellEnd"/>
      <w:r w:rsidRPr="006307E2">
        <w:t xml:space="preserve"> poruchy, ako je </w:t>
      </w:r>
      <w:proofErr w:type="spellStart"/>
      <w:r w:rsidRPr="006307E2">
        <w:t>ataxia</w:t>
      </w:r>
      <w:proofErr w:type="spellEnd"/>
      <w:r w:rsidRPr="006307E2">
        <w:t xml:space="preserve"> alebo svalový </w:t>
      </w:r>
      <w:proofErr w:type="spellStart"/>
      <w:r w:rsidRPr="006307E2">
        <w:t>tremor</w:t>
      </w:r>
      <w:proofErr w:type="spellEnd"/>
      <w:r w:rsidRPr="006307E2">
        <w:t xml:space="preserve">. Príznaky zvyčajne spontánne vymiznú do 48 hodín od odstránenia obojku. Ak sa vyskytne ktorýkoľvek z týchto príznakov, obojok sa má odstrániť. Liečba by mala byť symptomatická, pretože nie je známe žiadne špecifické </w:t>
      </w:r>
      <w:proofErr w:type="spellStart"/>
      <w:r w:rsidRPr="006307E2">
        <w:t>antidotum</w:t>
      </w:r>
      <w:proofErr w:type="spellEnd"/>
      <w:r w:rsidRPr="006307E2">
        <w:t xml:space="preserve">. Frekvencia nežiaducich reakcií je definovaná pomocou nasledujúcej konvencie: - veľmi časté (nežiaduce reakcie sa prejavujú u viac ako 1 z 10 liečených zvierat) - časté (u viac ako 1, ale menej ako 10 zo 100 liečených zvierat) - menej časté (u viac ako 1, ale menej ako 10 z 1 000 liečených zvierat) - zriedkavé (u viac ako 1, ale menej ako 10 z 10 000 liečených zvierat) - veľmi zriedkavé (u menej ako 1 z 10 000 liečených zvierat, vrátane ojedinelých hlásení). Ak spozorujete akékoľvek nežiaduce reakcie vrátane tých, ktoré nie sú uvedené v písomnej informácii pre používateľov, alebo ak máte podozrenie, že liek je neúčinný, informujte o tom svojho veterinárneho lekára. </w:t>
      </w:r>
    </w:p>
    <w:p w14:paraId="37A86516" w14:textId="6CB85AD9" w:rsidR="006307E2" w:rsidRDefault="006307E2" w:rsidP="00E02C94">
      <w:pPr>
        <w:jc w:val="both"/>
      </w:pPr>
      <w:r w:rsidRPr="00127467">
        <w:rPr>
          <w:u w:val="single"/>
        </w:rPr>
        <w:t>CIEĽOVÝ DRUH</w:t>
      </w:r>
      <w:r w:rsidR="00127467" w:rsidRPr="00127467">
        <w:rPr>
          <w:u w:val="single"/>
        </w:rPr>
        <w:t>:</w:t>
      </w:r>
      <w:r w:rsidRPr="006307E2">
        <w:t xml:space="preserve"> Psy (</w:t>
      </w:r>
      <w:r w:rsidR="00E83CF1">
        <w:t>nad 25</w:t>
      </w:r>
      <w:r w:rsidRPr="006307E2">
        <w:t xml:space="preserve"> kg) – pre </w:t>
      </w:r>
      <w:r w:rsidR="00E83CF1">
        <w:t>veľké a obrie</w:t>
      </w:r>
      <w:r w:rsidR="00240D46">
        <w:t xml:space="preserve"> plemená psov</w:t>
      </w:r>
    </w:p>
    <w:p w14:paraId="71E50BDB" w14:textId="5B4D400D" w:rsidR="006307E2" w:rsidRDefault="006307E2" w:rsidP="00E02C94">
      <w:pPr>
        <w:jc w:val="both"/>
      </w:pPr>
      <w:r w:rsidRPr="00127467">
        <w:rPr>
          <w:u w:val="single"/>
        </w:rPr>
        <w:lastRenderedPageBreak/>
        <w:t>DÁVKOVANIE PRE KAŽDÝ DRUH, CESTA A SPÔSOB PODANIA</w:t>
      </w:r>
      <w:r w:rsidR="00127467">
        <w:t xml:space="preserve">: </w:t>
      </w:r>
      <w:r w:rsidRPr="006307E2">
        <w:t>Na jedného psa by sa mal použi</w:t>
      </w:r>
      <w:r>
        <w:t>tý</w:t>
      </w:r>
      <w:r w:rsidRPr="006307E2">
        <w:t xml:space="preserve"> jeden obojok. Obojok s dĺžkou </w:t>
      </w:r>
      <w:r w:rsidR="00240D46">
        <w:t>35</w:t>
      </w:r>
      <w:r w:rsidRPr="006307E2">
        <w:t xml:space="preserve"> cm je určený pre malé a stredne veľké psy. Hodí sa na obvod krku do </w:t>
      </w:r>
      <w:r w:rsidR="00240D46">
        <w:t>2</w:t>
      </w:r>
      <w:r w:rsidRPr="006307E2">
        <w:t xml:space="preserve">8 cm. </w:t>
      </w:r>
    </w:p>
    <w:p w14:paraId="307458E9" w14:textId="77777777" w:rsidR="009D3D97" w:rsidRDefault="006307E2" w:rsidP="00E02C94">
      <w:pPr>
        <w:jc w:val="both"/>
      </w:pPr>
      <w:r w:rsidRPr="00127467">
        <w:rPr>
          <w:u w:val="single"/>
        </w:rPr>
        <w:t>ODPORÚČANIA PRE SPRÁVNE PODANIE</w:t>
      </w:r>
      <w:r w:rsidR="00127467" w:rsidRPr="00127467">
        <w:rPr>
          <w:u w:val="single"/>
        </w:rPr>
        <w:t>:</w:t>
      </w:r>
      <w:r w:rsidRPr="006307E2">
        <w:t xml:space="preserve"> Vyberte obojok z obalu a odtrhnite ľahko otvárateľný jazýček. Umiestnite obojok tak, aby nebol príliš tesný okolo krku zvieraťa. Medzi krk psa a obojok by sa mali zmestiť dva prsty vedľa seba. Vložte koniec obojku do spony a koniec obojku </w:t>
      </w:r>
      <w:r w:rsidR="009D3D97">
        <w:t>za sponou byť</w:t>
      </w:r>
      <w:r w:rsidRPr="006307E2">
        <w:t xml:space="preserve"> dlhší ako 5 cm, odstrihnite obojok za hranicou 5 cm. Obojok je navrhnutý tak, aby bol po pripevnení bezpečne upevnený (ochrana pred uškrtením). Vo veľmi nepravdepodobnom prípade, že sa váš pes zamotá do prekážky, zviera môže obojok dostatočne natiahnuť, aby sa rýchlo oslobodilo.</w:t>
      </w:r>
    </w:p>
    <w:p w14:paraId="01CF85C4" w14:textId="0B3AF5D2" w:rsidR="006307E2" w:rsidRDefault="006307E2" w:rsidP="00E02C94">
      <w:pPr>
        <w:jc w:val="both"/>
      </w:pPr>
      <w:r w:rsidRPr="006307E2">
        <w:t xml:space="preserve"> </w:t>
      </w:r>
      <w:r w:rsidRPr="009D3D97">
        <w:rPr>
          <w:u w:val="single"/>
        </w:rPr>
        <w:t>OCHRANNÁ LEHOTA</w:t>
      </w:r>
      <w:r w:rsidR="009D3D97" w:rsidRPr="009D3D97">
        <w:rPr>
          <w:u w:val="single"/>
        </w:rPr>
        <w:t>:</w:t>
      </w:r>
      <w:r w:rsidR="009D3D97">
        <w:t xml:space="preserve"> </w:t>
      </w:r>
      <w:r w:rsidRPr="006307E2">
        <w:t xml:space="preserve">Neuplatňuje sa. </w:t>
      </w:r>
    </w:p>
    <w:p w14:paraId="162A45A5" w14:textId="6FF53BF9" w:rsidR="006307E2" w:rsidRDefault="006307E2" w:rsidP="00E02C94">
      <w:pPr>
        <w:jc w:val="both"/>
      </w:pPr>
      <w:r w:rsidRPr="009D3D97">
        <w:rPr>
          <w:u w:val="single"/>
        </w:rPr>
        <w:t>ŠPECIÁLNE BEZPEČNOSTNÉ OPATRENIA NA UCHOVÁVANIE</w:t>
      </w:r>
      <w:r w:rsidR="009D3D97" w:rsidRPr="009D3D97">
        <w:rPr>
          <w:u w:val="single"/>
        </w:rPr>
        <w:t>:</w:t>
      </w:r>
      <w:r w:rsidRPr="006307E2">
        <w:t xml:space="preserve"> Uchovávajte mimo dohľadu a dosahu detí. Nie sú potrebné žiadne špeciálne opatrenia na uchovávanie. Vrecká uchovávajte vo vonkajšom obale. Nepoužívajte tento veterinárny liek po dátume exspirácie uvedenom na štítku alebo vonkajšom obale. Dátum exspirácie sa vzťahuje na posledný deň v mesiaci. </w:t>
      </w:r>
    </w:p>
    <w:p w14:paraId="310F09A6" w14:textId="2E0AB2A0" w:rsidR="006307E2" w:rsidRDefault="006307E2" w:rsidP="00E02C94">
      <w:pPr>
        <w:jc w:val="both"/>
      </w:pPr>
      <w:r w:rsidRPr="009D3D97">
        <w:rPr>
          <w:u w:val="single"/>
        </w:rPr>
        <w:t>ŠPECIÁLNE UPOZORNENIA</w:t>
      </w:r>
      <w:r w:rsidR="009D3D97" w:rsidRPr="009D3D97">
        <w:rPr>
          <w:u w:val="single"/>
        </w:rPr>
        <w:t>:</w:t>
      </w:r>
      <w:r w:rsidRPr="006307E2">
        <w:t xml:space="preserve"> Špeciálne opatrenia na použitie u zvierat: Keďže trvá jeden týždeň, kým  začne </w:t>
      </w:r>
      <w:r>
        <w:t xml:space="preserve">obojok plne </w:t>
      </w:r>
      <w:r w:rsidRPr="006307E2">
        <w:t xml:space="preserve">účinkovať, je najlepšie ho aplikovať jeden týždeň predtým, ako je pravdepodobné, že bude zviera vystavené zamoreniu. </w:t>
      </w:r>
      <w:r>
        <w:t>K</w:t>
      </w:r>
      <w:r w:rsidRPr="006307E2">
        <w:t xml:space="preserve">liešte budú usmrtené a spontánne odpadnú z hostiteľa do 24 – 48 hodín od zamorenia bez toho, aby hostiteľovi odobrali krv. Nemožno však vylúčiť pretrvávajúcu prítomnosť jednotlivých kliešťov počas nosenia obojku. Preto nemožno vylúčiť prenos infekčných chorôb kliešťami. Za nepriaznivých podmienok nemožno úplne vylúčiť prenos infekčných chorôb </w:t>
      </w:r>
      <w:proofErr w:type="spellStart"/>
      <w:r w:rsidRPr="006307E2">
        <w:t>pakomármi</w:t>
      </w:r>
      <w:proofErr w:type="spellEnd"/>
      <w:r w:rsidRPr="006307E2">
        <w:t xml:space="preserve">. Špeciálne opatrenia na použitie u zvierat: Vplyv používania šampónu na účinnosť lieku nebol skúmaný. </w:t>
      </w:r>
    </w:p>
    <w:p w14:paraId="6762D9C6" w14:textId="77777777" w:rsidR="006307E2" w:rsidRDefault="006307E2" w:rsidP="00E02C94">
      <w:pPr>
        <w:jc w:val="both"/>
      </w:pPr>
      <w:r w:rsidRPr="006307E2">
        <w:t xml:space="preserve">Špeciálne opatrenia, ktoré musí dodržiavať osoba podávajúca veterinárny liek zvieratám: Náhodné požitie tohto lieku môže spôsobiť nežiaduce reakcie vrátane </w:t>
      </w:r>
      <w:proofErr w:type="spellStart"/>
      <w:r w:rsidRPr="006307E2">
        <w:t>neurotoxicity</w:t>
      </w:r>
      <w:proofErr w:type="spellEnd"/>
      <w:r w:rsidRPr="006307E2">
        <w:t xml:space="preserve">. Liek skladujte v pôvodnom obale. Obojok uchovávajte vo vrecku, kým ho nebudete pripravení použiť. Počas manipulácie s obojkom nefajčite, nejedzte ani nepite. Uchovávajte mimo dosahu potravín, nápojov a krmiva. Nedovoľte deťom hrať sa s obojkom alebo si ho vkladať do úst. Okamžite odstráňte všetky zvyšné alebo odrezané časti obojku. Po nasadení obojku si umyte ruky studenou vodou. V prípade náhodného orálneho kontaktu alebo požitia vyhľadajte lekársku pomoc a ukážte lekárovi písomnú informáciu pre používateľov alebo obal. Vyhnite sa dlhšiemu kontaktu s obojkom alebo psom, ktorý ho nosí. To zahŕňa aj vyhýbanie sa spaniu v jednej posteli so psom, ktorý nosí obojok; toto je obzvlášť dôležité pre deti. </w:t>
      </w:r>
      <w:proofErr w:type="spellStart"/>
      <w:r w:rsidRPr="006307E2">
        <w:t>Deltametrín</w:t>
      </w:r>
      <w:proofErr w:type="spellEnd"/>
      <w:r w:rsidRPr="006307E2">
        <w:t xml:space="preserve"> môže u obzvlášť citlivých jedincov spôsobiť reakcie z precitlivenosti (alergické reakcie). Ľudia so známou precitlivenosťou na </w:t>
      </w:r>
      <w:proofErr w:type="spellStart"/>
      <w:r w:rsidRPr="006307E2">
        <w:t>deltametrín</w:t>
      </w:r>
      <w:proofErr w:type="spellEnd"/>
      <w:r w:rsidRPr="006307E2">
        <w:t xml:space="preserve"> by sa mali vyhýbať kontaktu s týmto veterinárnym liekom a zvieraťom, ktoré ho nosí. V prípade reakcie z precitlivenosti vyhľadajte lekársku pomoc. </w:t>
      </w:r>
    </w:p>
    <w:p w14:paraId="5B567942" w14:textId="77777777" w:rsidR="006307E2" w:rsidRDefault="006307E2" w:rsidP="00E02C94">
      <w:pPr>
        <w:jc w:val="both"/>
      </w:pPr>
      <w:r w:rsidRPr="006307E2">
        <w:rPr>
          <w:u w:val="single"/>
        </w:rPr>
        <w:lastRenderedPageBreak/>
        <w:t>Ďalšie opatrenia:</w:t>
      </w:r>
      <w:r w:rsidRPr="006307E2">
        <w:t xml:space="preserve"> Hoci občasný kontakt s vodou neznižuje účinnosť obojku, </w:t>
      </w:r>
      <w:proofErr w:type="spellStart"/>
      <w:r w:rsidRPr="006307E2">
        <w:t>deltametrín</w:t>
      </w:r>
      <w:proofErr w:type="spellEnd"/>
      <w:r w:rsidRPr="006307E2">
        <w:t xml:space="preserve"> je toxický pre ryby a iné vodné organizmy. Psy s obojkom by nemali plávať vo vodných tokoch. </w:t>
      </w:r>
    </w:p>
    <w:p w14:paraId="12C54974" w14:textId="77777777" w:rsidR="00E02C94" w:rsidRDefault="006307E2" w:rsidP="00E02C94">
      <w:pPr>
        <w:jc w:val="both"/>
      </w:pPr>
      <w:r w:rsidRPr="006307E2">
        <w:rPr>
          <w:u w:val="single"/>
        </w:rPr>
        <w:t>Použitie počas gravidity a laktácie:</w:t>
      </w:r>
      <w:r w:rsidRPr="006307E2">
        <w:t xml:space="preserve"> Laboratórne štúdie na potkanoch a králikoch neodhalili žiadne teratogénne účinky. Bezpečnosť tohto veterinárneho lieku počas gravidity nebola stanovená. Použitie počas gravidity sa neodporúča. Môže sa používať počas laktácie. </w:t>
      </w:r>
    </w:p>
    <w:p w14:paraId="46FE50F1" w14:textId="77777777" w:rsidR="00E02C94" w:rsidRDefault="006307E2" w:rsidP="00E02C94">
      <w:pPr>
        <w:jc w:val="both"/>
      </w:pPr>
      <w:r w:rsidRPr="00E02C94">
        <w:rPr>
          <w:u w:val="single"/>
        </w:rPr>
        <w:t>Interakcie s inými liekmi a iné formy interakcií:</w:t>
      </w:r>
      <w:r w:rsidRPr="006307E2">
        <w:t xml:space="preserve"> Nepoužívajte s inými liekmi určenými na liečbu </w:t>
      </w:r>
      <w:proofErr w:type="spellStart"/>
      <w:r w:rsidRPr="006307E2">
        <w:t>ektoparazitov</w:t>
      </w:r>
      <w:proofErr w:type="spellEnd"/>
      <w:r w:rsidRPr="006307E2">
        <w:t xml:space="preserve"> (</w:t>
      </w:r>
      <w:proofErr w:type="spellStart"/>
      <w:r w:rsidRPr="006307E2">
        <w:t>pyretroidy</w:t>
      </w:r>
      <w:proofErr w:type="spellEnd"/>
      <w:r w:rsidRPr="006307E2">
        <w:t xml:space="preserve"> alebo organofosfáty).</w:t>
      </w:r>
    </w:p>
    <w:p w14:paraId="1837F310" w14:textId="77777777" w:rsidR="00E02C94" w:rsidRDefault="006307E2" w:rsidP="00E02C94">
      <w:pPr>
        <w:jc w:val="both"/>
      </w:pPr>
      <w:r w:rsidRPr="00E02C94">
        <w:rPr>
          <w:u w:val="single"/>
        </w:rPr>
        <w:t>Predávkovanie</w:t>
      </w:r>
      <w:r w:rsidRPr="006307E2">
        <w:t xml:space="preserve"> (príznaky, núdzové postupy, </w:t>
      </w:r>
      <w:proofErr w:type="spellStart"/>
      <w:r w:rsidRPr="006307E2">
        <w:t>antidotá</w:t>
      </w:r>
      <w:proofErr w:type="spellEnd"/>
      <w:r w:rsidRPr="006307E2">
        <w:t>): Ak pes náhodne prehltne obojok, môžu sa vyskytnúť nasledujúce príznaky otravy: nekoordinovaný pohyb, tras, nadmerné slinenie, vracanie a znecitlivenie (stuhnutosť) zadných končatín. Tieto príznaky zvyčajne spontánne vymiznú do 48 hodín. V prípade náhodného požitia by mal majiteľ domáceho zvieraťa kontaktovať veterinárneho lekára a nemal by začínať so symptomatickou liečbou. Veterinár by mal posúdiť potrebu symptomatickej liečby.</w:t>
      </w:r>
    </w:p>
    <w:p w14:paraId="68CE4B4A" w14:textId="77777777" w:rsidR="00E02C94" w:rsidRDefault="006307E2" w:rsidP="00E02C94">
      <w:pPr>
        <w:jc w:val="both"/>
      </w:pPr>
      <w:r w:rsidRPr="00E02C94">
        <w:rPr>
          <w:u w:val="single"/>
        </w:rPr>
        <w:t>Hlavné inkompatibility:</w:t>
      </w:r>
      <w:r w:rsidRPr="006307E2">
        <w:t xml:space="preserve"> Neuplatňuje sa </w:t>
      </w:r>
      <w:r w:rsidRPr="00E02C94">
        <w:rPr>
          <w:b/>
          <w:bCs/>
        </w:rPr>
        <w:t>OSOBITNÉ BEZPEČNOSTNÉ OPATRENIA PRI ZNEŠKODŇOVANÍ NEPOUŽITÉHO VETERINÁRNEHO LIEKU ALEBO ODPADOVÉHO MATERIÁLU</w:t>
      </w:r>
      <w:r w:rsidRPr="006307E2">
        <w:t xml:space="preserve"> Požiadajte svojho veterinárneho lekára alebo lekárnika o radu, ako zlikvidovať lieky, ktoré už nepotrebujete. Pomôže to chrániť životné prostredie.</w:t>
      </w:r>
    </w:p>
    <w:p w14:paraId="2642E28A" w14:textId="1DBD2037" w:rsidR="006307E2" w:rsidRPr="006307E2" w:rsidRDefault="006307E2" w:rsidP="00E02C94">
      <w:pPr>
        <w:jc w:val="both"/>
      </w:pPr>
      <w:r w:rsidRPr="006307E2">
        <w:t xml:space="preserve">DÁTUM SCHVÁLENIA ALEBO POSLEDNEJ REVÍZIE LETÁKU PRE POUŽITIE 20.05.2020 ĎALŠIE INFORMÁCIE Veľkosti balenia: Kartónová alebo kovová škatuľa s dvoma vreckami, každé obsahuje jeden 60 cm obojok. Nie všetky veľkosti balenia nemusia byť dostupné na trhu. </w:t>
      </w:r>
    </w:p>
    <w:p w14:paraId="1F579462" w14:textId="6EF98FB0" w:rsidR="002127C5" w:rsidRDefault="002127C5"/>
    <w:sectPr w:rsidR="002127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E2"/>
    <w:rsid w:val="00127467"/>
    <w:rsid w:val="001867F5"/>
    <w:rsid w:val="002127C5"/>
    <w:rsid w:val="00240D46"/>
    <w:rsid w:val="006307E2"/>
    <w:rsid w:val="009769E2"/>
    <w:rsid w:val="009D3D97"/>
    <w:rsid w:val="00E02C94"/>
    <w:rsid w:val="00E3492F"/>
    <w:rsid w:val="00E83CF1"/>
    <w:rsid w:val="00FF1A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455F"/>
  <w15:chartTrackingRefBased/>
  <w15:docId w15:val="{AAE9A515-A633-49B0-ADF4-1F70DAC8E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307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307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307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307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307E2"/>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307E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307E2"/>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307E2"/>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307E2"/>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307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307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307E2"/>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307E2"/>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307E2"/>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307E2"/>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307E2"/>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307E2"/>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307E2"/>
    <w:rPr>
      <w:rFonts w:eastAsiaTheme="majorEastAsia" w:cstheme="majorBidi"/>
      <w:color w:val="272727" w:themeColor="text1" w:themeTint="D8"/>
    </w:rPr>
  </w:style>
  <w:style w:type="paragraph" w:styleId="Nzov">
    <w:name w:val="Title"/>
    <w:basedOn w:val="Normlny"/>
    <w:next w:val="Normlny"/>
    <w:link w:val="NzovChar"/>
    <w:uiPriority w:val="10"/>
    <w:qFormat/>
    <w:rsid w:val="006307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307E2"/>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307E2"/>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307E2"/>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307E2"/>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307E2"/>
    <w:rPr>
      <w:i/>
      <w:iCs/>
      <w:color w:val="404040" w:themeColor="text1" w:themeTint="BF"/>
    </w:rPr>
  </w:style>
  <w:style w:type="paragraph" w:styleId="Odsekzoznamu">
    <w:name w:val="List Paragraph"/>
    <w:basedOn w:val="Normlny"/>
    <w:uiPriority w:val="34"/>
    <w:qFormat/>
    <w:rsid w:val="006307E2"/>
    <w:pPr>
      <w:ind w:left="720"/>
      <w:contextualSpacing/>
    </w:pPr>
  </w:style>
  <w:style w:type="character" w:styleId="Intenzvnezvraznenie">
    <w:name w:val="Intense Emphasis"/>
    <w:basedOn w:val="Predvolenpsmoodseku"/>
    <w:uiPriority w:val="21"/>
    <w:qFormat/>
    <w:rsid w:val="006307E2"/>
    <w:rPr>
      <w:i/>
      <w:iCs/>
      <w:color w:val="0F4761" w:themeColor="accent1" w:themeShade="BF"/>
    </w:rPr>
  </w:style>
  <w:style w:type="paragraph" w:styleId="Zvraznencitcia">
    <w:name w:val="Intense Quote"/>
    <w:basedOn w:val="Normlny"/>
    <w:next w:val="Normlny"/>
    <w:link w:val="ZvraznencitciaChar"/>
    <w:uiPriority w:val="30"/>
    <w:qFormat/>
    <w:rsid w:val="006307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307E2"/>
    <w:rPr>
      <w:i/>
      <w:iCs/>
      <w:color w:val="0F4761" w:themeColor="accent1" w:themeShade="BF"/>
    </w:rPr>
  </w:style>
  <w:style w:type="character" w:styleId="Zvraznenodkaz">
    <w:name w:val="Intense Reference"/>
    <w:basedOn w:val="Predvolenpsmoodseku"/>
    <w:uiPriority w:val="32"/>
    <w:qFormat/>
    <w:rsid w:val="006307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1055</Words>
  <Characters>6018</Characters>
  <Application>Microsoft Office Word</Application>
  <DocSecurity>0</DocSecurity>
  <Lines>50</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Čemanová Kisková</dc:creator>
  <cp:keywords/>
  <dc:description/>
  <cp:lastModifiedBy>Ivana Čemanová Kisková</cp:lastModifiedBy>
  <cp:revision>2</cp:revision>
  <dcterms:created xsi:type="dcterms:W3CDTF">2025-08-27T13:52:00Z</dcterms:created>
  <dcterms:modified xsi:type="dcterms:W3CDTF">2025-08-27T13:52:00Z</dcterms:modified>
</cp:coreProperties>
</file>